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4E81B" w14:textId="30E9F9B4" w:rsidR="00D538C3" w:rsidRPr="00CA6272" w:rsidRDefault="00516B9F" w:rsidP="00CA6272">
      <w:pPr>
        <w:spacing w:before="120" w:after="120"/>
        <w:jc w:val="center"/>
        <w:rPr>
          <w:rFonts w:asciiTheme="majorHAnsi" w:hAnsiTheme="majorHAnsi" w:cstheme="majorHAnsi"/>
          <w:b/>
          <w:bCs/>
          <w:color w:val="auto"/>
          <w:sz w:val="28"/>
          <w:szCs w:val="28"/>
          <w:shd w:val="clear" w:color="auto" w:fill="FFFFFF"/>
          <w:lang w:val="en-US"/>
        </w:rPr>
      </w:pPr>
      <w:r w:rsidRPr="004C1E9B">
        <w:rPr>
          <w:rFonts w:asciiTheme="majorHAnsi" w:hAnsiTheme="majorHAnsi" w:cstheme="majorHAnsi"/>
          <w:b/>
          <w:color w:val="auto"/>
          <w:sz w:val="28"/>
          <w:szCs w:val="28"/>
          <w:lang w:val="en-US"/>
        </w:rPr>
        <w:t>THỦ TỤ</w:t>
      </w:r>
      <w:r w:rsidR="008261A9">
        <w:rPr>
          <w:rFonts w:asciiTheme="majorHAnsi" w:hAnsiTheme="majorHAnsi" w:cstheme="majorHAnsi"/>
          <w:b/>
          <w:color w:val="auto"/>
          <w:sz w:val="28"/>
          <w:szCs w:val="28"/>
          <w:lang w:val="en-US"/>
        </w:rPr>
        <w:t>C 4</w:t>
      </w:r>
      <w:r w:rsidRPr="004C1E9B">
        <w:rPr>
          <w:rFonts w:asciiTheme="majorHAnsi" w:hAnsiTheme="majorHAnsi" w:cstheme="majorHAnsi"/>
          <w:b/>
          <w:color w:val="auto"/>
          <w:sz w:val="28"/>
          <w:szCs w:val="28"/>
          <w:lang w:val="en-US"/>
        </w:rPr>
        <w:t xml:space="preserve">: </w:t>
      </w:r>
      <w:r w:rsidR="008261A9">
        <w:rPr>
          <w:rFonts w:asciiTheme="majorHAnsi" w:hAnsiTheme="majorHAnsi" w:cstheme="majorHAnsi"/>
          <w:b/>
          <w:color w:val="auto"/>
          <w:sz w:val="28"/>
          <w:szCs w:val="28"/>
          <w:lang w:val="en-US"/>
        </w:rPr>
        <w:t>GIẢI THỂ</w:t>
      </w:r>
      <w:r w:rsidR="00CA6272">
        <w:rPr>
          <w:rFonts w:asciiTheme="majorHAnsi" w:hAnsiTheme="majorHAnsi" w:cstheme="majorHAnsi"/>
          <w:b/>
          <w:bCs/>
          <w:color w:val="auto"/>
          <w:sz w:val="28"/>
          <w:szCs w:val="28"/>
          <w:shd w:val="clear" w:color="auto" w:fill="FFFFFF"/>
          <w:lang w:val="en-US"/>
        </w:rPr>
        <w:t xml:space="preserve"> </w:t>
      </w:r>
      <w:r w:rsidR="001A1081" w:rsidRPr="004C1E9B">
        <w:rPr>
          <w:rFonts w:asciiTheme="majorHAnsi" w:hAnsiTheme="majorHAnsi" w:cstheme="majorHAnsi"/>
          <w:b/>
          <w:bCs/>
          <w:color w:val="auto"/>
          <w:sz w:val="28"/>
          <w:szCs w:val="28"/>
          <w:shd w:val="clear" w:color="auto" w:fill="FFFFFF"/>
          <w:lang w:val="en-US"/>
        </w:rPr>
        <w:t>NHÀ TRƯỜNG, NHÀ TRẺ</w:t>
      </w:r>
    </w:p>
    <w:p w14:paraId="13E92C14" w14:textId="77777777" w:rsidR="00D538C3" w:rsidRPr="004C1E9B" w:rsidRDefault="00D538C3" w:rsidP="004C1E9B">
      <w:pPr>
        <w:spacing w:before="120" w:after="120"/>
        <w:jc w:val="both"/>
        <w:rPr>
          <w:rFonts w:asciiTheme="majorHAnsi" w:hAnsiTheme="majorHAnsi" w:cstheme="majorHAnsi"/>
          <w:b/>
          <w:color w:val="auto"/>
          <w:sz w:val="28"/>
          <w:szCs w:val="28"/>
          <w:lang w:val="en-US"/>
        </w:rPr>
      </w:pPr>
    </w:p>
    <w:p w14:paraId="120AF2D7" w14:textId="05EE0796" w:rsidR="001E1326" w:rsidRPr="00685A20" w:rsidRDefault="001E1326" w:rsidP="00685A20">
      <w:pPr>
        <w:spacing w:before="120" w:after="120"/>
        <w:ind w:firstLine="720"/>
        <w:jc w:val="both"/>
        <w:rPr>
          <w:rFonts w:asciiTheme="majorHAnsi" w:hAnsiTheme="majorHAnsi" w:cstheme="majorHAnsi"/>
          <w:b/>
          <w:color w:val="auto"/>
          <w:sz w:val="28"/>
          <w:szCs w:val="28"/>
          <w:lang w:val="en-US"/>
        </w:rPr>
      </w:pPr>
      <w:r w:rsidRPr="00685A20">
        <w:rPr>
          <w:rFonts w:asciiTheme="majorHAnsi" w:hAnsiTheme="majorHAnsi" w:cstheme="majorHAnsi"/>
          <w:b/>
          <w:color w:val="auto"/>
          <w:sz w:val="28"/>
          <w:szCs w:val="28"/>
          <w:lang w:val="en-US"/>
        </w:rPr>
        <w:t>1. Các bước thực hiện</w:t>
      </w:r>
    </w:p>
    <w:p w14:paraId="67C0DFE6" w14:textId="77777777" w:rsidR="00685A20" w:rsidRPr="00685A20" w:rsidRDefault="00685A20" w:rsidP="00685A20">
      <w:pPr>
        <w:pStyle w:val="NormalWeb"/>
        <w:shd w:val="clear" w:color="auto" w:fill="FFFFFF"/>
        <w:spacing w:before="120" w:beforeAutospacing="0" w:after="120" w:afterAutospacing="0"/>
        <w:ind w:firstLine="720"/>
        <w:jc w:val="both"/>
        <w:rPr>
          <w:rFonts w:asciiTheme="majorHAnsi" w:hAnsiTheme="majorHAnsi" w:cstheme="majorHAnsi"/>
          <w:color w:val="313031"/>
          <w:sz w:val="20"/>
          <w:szCs w:val="20"/>
        </w:rPr>
      </w:pPr>
      <w:r w:rsidRPr="00685A20">
        <w:rPr>
          <w:rFonts w:asciiTheme="majorHAnsi" w:hAnsiTheme="majorHAnsi" w:cstheme="majorHAnsi"/>
          <w:color w:val="313031"/>
          <w:spacing w:val="-6"/>
          <w:sz w:val="26"/>
          <w:szCs w:val="26"/>
        </w:rPr>
        <w:t>- Ủy ban nhân dân xã (đối với nhà trường, nhà trẻ công lập); tổ chức, cá nhân (đối với nhà trường, nhà trẻ tư thục) nộp hồ sơ đề nghị giải thể tới Ủy ban nhân dân huyện;</w:t>
      </w:r>
    </w:p>
    <w:p w14:paraId="6D5A7369" w14:textId="77777777" w:rsidR="00685A20" w:rsidRPr="00685A20" w:rsidRDefault="00685A20" w:rsidP="00685A20">
      <w:pPr>
        <w:pStyle w:val="NormalWeb"/>
        <w:shd w:val="clear" w:color="auto" w:fill="FFFFFF"/>
        <w:spacing w:before="120" w:beforeAutospacing="0" w:after="120" w:afterAutospacing="0"/>
        <w:ind w:firstLine="720"/>
        <w:jc w:val="both"/>
        <w:rPr>
          <w:rFonts w:asciiTheme="majorHAnsi" w:hAnsiTheme="majorHAnsi" w:cstheme="majorHAnsi"/>
          <w:color w:val="313031"/>
          <w:sz w:val="20"/>
          <w:szCs w:val="20"/>
        </w:rPr>
      </w:pPr>
      <w:r w:rsidRPr="00685A20">
        <w:rPr>
          <w:rFonts w:asciiTheme="majorHAnsi" w:hAnsiTheme="majorHAnsi" w:cstheme="majorHAnsi"/>
          <w:color w:val="313031"/>
          <w:sz w:val="26"/>
          <w:szCs w:val="26"/>
        </w:rPr>
        <w:t>- Trong thời hạn 10 ngày làm việc, kể từ ngày nhận được hồ sơ đề nghị giải thể nhà trường, nhà trẻ, Chủ tịch ủy ban nhân dân huyện xem xét quyết định giải thể hay không giải thể nhà trường, nhà trẻ.</w:t>
      </w:r>
    </w:p>
    <w:p w14:paraId="202E7E1E" w14:textId="1E3F160E" w:rsidR="001E1326" w:rsidRPr="00685A20" w:rsidRDefault="00685A20" w:rsidP="00685A20">
      <w:pPr>
        <w:pStyle w:val="NormalWeb"/>
        <w:shd w:val="clear" w:color="auto" w:fill="FFFFFF"/>
        <w:spacing w:before="120" w:beforeAutospacing="0" w:after="120" w:afterAutospacing="0"/>
        <w:ind w:firstLine="720"/>
        <w:jc w:val="both"/>
        <w:rPr>
          <w:rFonts w:asciiTheme="majorHAnsi" w:hAnsiTheme="majorHAnsi" w:cstheme="majorHAnsi"/>
          <w:color w:val="313031"/>
          <w:sz w:val="20"/>
          <w:szCs w:val="20"/>
        </w:rPr>
      </w:pPr>
      <w:r w:rsidRPr="00685A20">
        <w:rPr>
          <w:rFonts w:asciiTheme="majorHAnsi" w:hAnsiTheme="majorHAnsi" w:cstheme="majorHAnsi"/>
          <w:color w:val="313031"/>
          <w:sz w:val="26"/>
          <w:szCs w:val="26"/>
        </w:rPr>
        <w:t>Quyết định giải thể nhà trường, nhà trẻ cần nêu rõ lý do giải thể, quy định biện pháp bảo đảm quyền lợi của trẻ em, giáo viên, cán bộ và nhân viên trong trường; phương án giải quyết các tài sản của trường, bảo đảm tính công khai, minh bạch. Quyết định giải thể nhà trường, nhà trẻ phải được công bố công khai trên các phương tiện thông tin đại chúng.</w:t>
      </w:r>
    </w:p>
    <w:p w14:paraId="17A5AA96" w14:textId="1C83A936" w:rsidR="001E1326" w:rsidRPr="00685A20" w:rsidRDefault="001E1326" w:rsidP="00685A20">
      <w:pPr>
        <w:spacing w:before="120" w:after="120"/>
        <w:ind w:firstLine="720"/>
        <w:jc w:val="both"/>
        <w:rPr>
          <w:rFonts w:asciiTheme="majorHAnsi" w:hAnsiTheme="majorHAnsi" w:cstheme="majorHAnsi"/>
          <w:b/>
          <w:color w:val="auto"/>
          <w:sz w:val="28"/>
          <w:szCs w:val="28"/>
          <w:lang w:val="en-US"/>
        </w:rPr>
      </w:pPr>
      <w:r w:rsidRPr="00685A20">
        <w:rPr>
          <w:rFonts w:asciiTheme="majorHAnsi" w:hAnsiTheme="majorHAnsi" w:cstheme="majorHAnsi"/>
          <w:b/>
          <w:color w:val="auto"/>
          <w:sz w:val="28"/>
          <w:szCs w:val="28"/>
          <w:lang w:val="en-US"/>
        </w:rPr>
        <w:t xml:space="preserve">2. Hồ sơ </w:t>
      </w:r>
    </w:p>
    <w:p w14:paraId="1A2E09CD" w14:textId="77777777" w:rsidR="00685A20" w:rsidRPr="00685A20" w:rsidRDefault="00685A20" w:rsidP="00685A20">
      <w:pPr>
        <w:widowControl/>
        <w:spacing w:before="120" w:after="120"/>
        <w:ind w:firstLine="720"/>
        <w:jc w:val="both"/>
        <w:rPr>
          <w:rFonts w:asciiTheme="majorHAnsi" w:eastAsia="Times New Roman" w:hAnsiTheme="majorHAnsi" w:cstheme="majorHAnsi"/>
          <w:color w:val="313031"/>
          <w:sz w:val="20"/>
          <w:szCs w:val="20"/>
          <w:lang w:val="x-none" w:eastAsia="x-none"/>
        </w:rPr>
      </w:pPr>
      <w:r w:rsidRPr="00685A20">
        <w:rPr>
          <w:rFonts w:asciiTheme="majorHAnsi" w:eastAsia="Times New Roman" w:hAnsiTheme="majorHAnsi" w:cstheme="majorHAnsi"/>
          <w:color w:val="313031"/>
          <w:sz w:val="26"/>
          <w:szCs w:val="26"/>
          <w:lang w:val="x-none" w:eastAsia="x-none"/>
        </w:rPr>
        <w:t>* Thành phần hồ sơ:</w:t>
      </w:r>
    </w:p>
    <w:p w14:paraId="733AB272" w14:textId="77777777" w:rsidR="00685A20" w:rsidRPr="00685A20" w:rsidRDefault="00685A20" w:rsidP="00685A20">
      <w:pPr>
        <w:widowControl/>
        <w:spacing w:before="120" w:after="120"/>
        <w:ind w:firstLine="720"/>
        <w:jc w:val="both"/>
        <w:rPr>
          <w:rFonts w:asciiTheme="majorHAnsi" w:eastAsia="Times New Roman" w:hAnsiTheme="majorHAnsi" w:cstheme="majorHAnsi"/>
          <w:color w:val="313031"/>
          <w:sz w:val="20"/>
          <w:szCs w:val="20"/>
          <w:lang w:val="x-none" w:eastAsia="x-none"/>
        </w:rPr>
      </w:pPr>
      <w:r w:rsidRPr="00685A20">
        <w:rPr>
          <w:rFonts w:asciiTheme="majorHAnsi" w:eastAsia="Times New Roman" w:hAnsiTheme="majorHAnsi" w:cstheme="majorHAnsi"/>
          <w:color w:val="313031"/>
          <w:spacing w:val="-6"/>
          <w:sz w:val="26"/>
          <w:szCs w:val="26"/>
          <w:lang w:val="x-none" w:eastAsia="x-none"/>
        </w:rPr>
        <w:t>Tờ trình đề nghị giải thể của tổ chức, cá nhân thành lập nhà trường, nhà trẻ, trong đó nêu rõ lý do giải thể, các biện pháp giải quyết quyền lợi hợp pháp của trẻ em, giáo viên, cán bộ và nhân viên nhà trường, nhà trẻ; phương án giải quyết các tài sản của trường.</w:t>
      </w:r>
    </w:p>
    <w:p w14:paraId="75FFF63F" w14:textId="2DDCA95D" w:rsidR="004C1E9B" w:rsidRPr="00685A20" w:rsidRDefault="00685A20" w:rsidP="00685A20">
      <w:pPr>
        <w:spacing w:before="120" w:after="120"/>
        <w:ind w:firstLine="720"/>
        <w:jc w:val="both"/>
        <w:rPr>
          <w:rFonts w:asciiTheme="majorHAnsi" w:eastAsia="Times New Roman" w:hAnsiTheme="majorHAnsi" w:cstheme="majorHAnsi"/>
          <w:color w:val="313031"/>
          <w:sz w:val="28"/>
          <w:szCs w:val="28"/>
          <w:lang w:val="x-none" w:eastAsia="x-none"/>
        </w:rPr>
      </w:pPr>
      <w:r w:rsidRPr="00685A20">
        <w:rPr>
          <w:rFonts w:asciiTheme="majorHAnsi" w:eastAsia="Times New Roman" w:hAnsiTheme="majorHAnsi" w:cstheme="majorHAnsi"/>
          <w:color w:val="313031"/>
          <w:sz w:val="26"/>
          <w:szCs w:val="26"/>
          <w:lang w:val="x-none" w:eastAsia="x-none"/>
        </w:rPr>
        <w:t>* Số lượng bộ hồ sơ: 01 bộ.</w:t>
      </w:r>
    </w:p>
    <w:p w14:paraId="01FF2F7F" w14:textId="0DBF111B" w:rsidR="001E1326" w:rsidRPr="00685A20" w:rsidRDefault="001E1326" w:rsidP="00685A20">
      <w:pPr>
        <w:spacing w:before="120" w:after="120"/>
        <w:ind w:firstLine="720"/>
        <w:jc w:val="both"/>
        <w:rPr>
          <w:rFonts w:asciiTheme="majorHAnsi" w:hAnsiTheme="majorHAnsi" w:cstheme="majorHAnsi"/>
          <w:b/>
          <w:color w:val="auto"/>
          <w:sz w:val="28"/>
          <w:szCs w:val="28"/>
          <w:lang w:val="en-US"/>
        </w:rPr>
      </w:pPr>
      <w:r w:rsidRPr="00685A20">
        <w:rPr>
          <w:rFonts w:asciiTheme="majorHAnsi" w:hAnsiTheme="majorHAnsi" w:cstheme="majorHAnsi"/>
          <w:b/>
          <w:color w:val="auto"/>
          <w:sz w:val="28"/>
          <w:szCs w:val="28"/>
          <w:lang w:val="en-US"/>
        </w:rPr>
        <w:t xml:space="preserve">3. Căn cứ pháp lí </w:t>
      </w:r>
    </w:p>
    <w:p w14:paraId="67524CB4" w14:textId="77777777" w:rsidR="00685A20" w:rsidRPr="00685A20" w:rsidRDefault="00685A20" w:rsidP="00685A20">
      <w:pPr>
        <w:widowControl/>
        <w:shd w:val="clear" w:color="auto" w:fill="FFFFFF"/>
        <w:spacing w:before="120" w:after="120"/>
        <w:ind w:firstLine="720"/>
        <w:jc w:val="both"/>
        <w:rPr>
          <w:rFonts w:asciiTheme="majorHAnsi" w:eastAsia="Times New Roman" w:hAnsiTheme="majorHAnsi" w:cstheme="majorHAnsi"/>
          <w:color w:val="313031"/>
          <w:sz w:val="20"/>
          <w:szCs w:val="20"/>
          <w:lang w:val="x-none" w:eastAsia="x-none"/>
        </w:rPr>
      </w:pPr>
      <w:r w:rsidRPr="00685A20">
        <w:rPr>
          <w:rFonts w:asciiTheme="majorHAnsi" w:eastAsia="Times New Roman" w:hAnsiTheme="majorHAnsi" w:cstheme="majorHAnsi"/>
          <w:color w:val="313031"/>
          <w:sz w:val="26"/>
          <w:szCs w:val="26"/>
          <w:lang w:val="x-none" w:eastAsia="x-none"/>
        </w:rPr>
        <w:t>+ Văn bản hợp nhất số 04/VBHN-BGDĐT ngày 24/12/2015 của Bộ Giáo dục và Đào tạo ban hành Điều lệ trường mầm non;</w:t>
      </w:r>
    </w:p>
    <w:p w14:paraId="5B5590CC" w14:textId="77777777" w:rsidR="00685A20" w:rsidRPr="00685A20" w:rsidRDefault="00685A20" w:rsidP="00685A20">
      <w:pPr>
        <w:widowControl/>
        <w:shd w:val="clear" w:color="auto" w:fill="FFFFFF"/>
        <w:spacing w:before="120" w:after="120"/>
        <w:ind w:firstLine="720"/>
        <w:jc w:val="both"/>
        <w:rPr>
          <w:rFonts w:asciiTheme="majorHAnsi" w:eastAsia="Times New Roman" w:hAnsiTheme="majorHAnsi" w:cstheme="majorHAnsi"/>
          <w:color w:val="313031"/>
          <w:sz w:val="20"/>
          <w:szCs w:val="20"/>
          <w:lang w:val="x-none" w:eastAsia="x-none"/>
        </w:rPr>
      </w:pPr>
      <w:r w:rsidRPr="00685A20">
        <w:rPr>
          <w:rFonts w:asciiTheme="majorHAnsi" w:eastAsia="Times New Roman" w:hAnsiTheme="majorHAnsi" w:cstheme="majorHAnsi"/>
          <w:sz w:val="26"/>
          <w:szCs w:val="26"/>
          <w:lang w:val="x-none" w:eastAsia="x-none"/>
        </w:rPr>
        <w:t xml:space="preserve">+ </w:t>
      </w:r>
      <w:r w:rsidRPr="00685A20">
        <w:rPr>
          <w:rFonts w:asciiTheme="majorHAnsi" w:eastAsia="Times New Roman" w:hAnsiTheme="majorHAnsi" w:cstheme="majorHAnsi"/>
          <w:color w:val="313031"/>
          <w:sz w:val="20"/>
          <w:szCs w:val="20"/>
          <w:lang w:val="x-none" w:eastAsia="x-none"/>
        </w:rPr>
        <w:t> </w:t>
      </w:r>
      <w:r w:rsidRPr="00685A20">
        <w:rPr>
          <w:rFonts w:asciiTheme="majorHAnsi" w:eastAsia="Times New Roman" w:hAnsiTheme="majorHAnsi" w:cstheme="majorHAnsi"/>
          <w:color w:val="313031"/>
          <w:sz w:val="26"/>
          <w:szCs w:val="26"/>
          <w:lang w:val="x-none" w:eastAsia="x-none"/>
        </w:rPr>
        <w:t>Thông tư số 13/2015/TT-BGDĐT ngày 30/6/2015 của Bộ Giáo dục và Đào tạo ban hành Quy chế tổ chức và hoạt động của trường mầm non tư thục;</w:t>
      </w:r>
    </w:p>
    <w:p w14:paraId="0A68ABB7" w14:textId="3E45C037" w:rsidR="004C1E9B" w:rsidRPr="00685A20" w:rsidRDefault="00685A20" w:rsidP="00685A20">
      <w:pPr>
        <w:spacing w:before="120" w:after="120"/>
        <w:ind w:firstLine="720"/>
        <w:jc w:val="both"/>
        <w:rPr>
          <w:rFonts w:asciiTheme="majorHAnsi" w:eastAsia="Times New Roman" w:hAnsiTheme="majorHAnsi" w:cstheme="majorHAnsi"/>
          <w:color w:val="313031"/>
          <w:sz w:val="28"/>
          <w:szCs w:val="28"/>
          <w:lang w:val="x-none" w:eastAsia="x-none"/>
        </w:rPr>
      </w:pPr>
      <w:r w:rsidRPr="00685A20">
        <w:rPr>
          <w:rFonts w:asciiTheme="majorHAnsi" w:eastAsia="Times New Roman" w:hAnsiTheme="majorHAnsi" w:cstheme="majorHAnsi"/>
          <w:color w:val="313031"/>
          <w:sz w:val="26"/>
          <w:szCs w:val="26"/>
          <w:lang w:val="x-none" w:eastAsia="x-none"/>
        </w:rPr>
        <w:t>+ Thông tư số 21/2012/TT-BGDĐT ngày 15/6/2012 của Bộ Giáo dục và Đào tạo ban hành Quy chế tổ chức và hoạt động của trường m</w:t>
      </w:r>
      <w:bookmarkStart w:id="0" w:name="_GoBack"/>
      <w:bookmarkEnd w:id="0"/>
      <w:r w:rsidRPr="00685A20">
        <w:rPr>
          <w:rFonts w:asciiTheme="majorHAnsi" w:eastAsia="Times New Roman" w:hAnsiTheme="majorHAnsi" w:cstheme="majorHAnsi"/>
          <w:color w:val="313031"/>
          <w:sz w:val="26"/>
          <w:szCs w:val="26"/>
          <w:lang w:val="x-none" w:eastAsia="x-none"/>
        </w:rPr>
        <w:t>ầm non dân lập.</w:t>
      </w:r>
    </w:p>
    <w:sectPr w:rsidR="004C1E9B" w:rsidRPr="00685A20" w:rsidSect="00B73AE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C3"/>
    <w:rsid w:val="001A1081"/>
    <w:rsid w:val="001E1326"/>
    <w:rsid w:val="00404543"/>
    <w:rsid w:val="004C1E9B"/>
    <w:rsid w:val="00516B9F"/>
    <w:rsid w:val="00534753"/>
    <w:rsid w:val="00685A20"/>
    <w:rsid w:val="008261A9"/>
    <w:rsid w:val="00B73AE1"/>
    <w:rsid w:val="00CA6272"/>
    <w:rsid w:val="00D538C3"/>
    <w:rsid w:val="00F6539B"/>
    <w:rsid w:val="00FC7D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B91A"/>
  <w15:chartTrackingRefBased/>
  <w15:docId w15:val="{78E73188-4CD1-4FE5-ADA7-833E098B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x-none" w:eastAsia="en-US" w:bidi="ar-SA"/>
      </w:rPr>
    </w:rPrDefault>
    <w:pPrDefault>
      <w:pPr>
        <w:spacing w:before="120" w:after="120"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val="x-none"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val="x-none" w:eastAsia="en-US"/>
    </w:rPr>
  </w:style>
  <w:style w:type="paragraph" w:styleId="NormalWeb">
    <w:name w:val="Normal (Web)"/>
    <w:basedOn w:val="Normal"/>
    <w:uiPriority w:val="99"/>
    <w:semiHidden/>
    <w:unhideWhenUsed/>
    <w:rsid w:val="001E1326"/>
    <w:pPr>
      <w:widowControl/>
      <w:spacing w:before="100" w:beforeAutospacing="1" w:after="100" w:afterAutospacing="1"/>
    </w:pPr>
    <w:rPr>
      <w:rFonts w:ascii="Times New Roman" w:eastAsia="Times New Roman" w:hAnsi="Times New Roman" w:cs="Times New Roman"/>
      <w:color w:val="auto"/>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7991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Minh Thái</dc:creator>
  <cp:keywords/>
  <dc:description/>
  <cp:lastModifiedBy>Trần Minh Thái</cp:lastModifiedBy>
  <cp:revision>3</cp:revision>
  <dcterms:created xsi:type="dcterms:W3CDTF">2017-10-04T08:28:00Z</dcterms:created>
  <dcterms:modified xsi:type="dcterms:W3CDTF">2017-10-04T09:04:00Z</dcterms:modified>
</cp:coreProperties>
</file>